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1F" w:rsidRDefault="0096201F" w:rsidP="0096201F">
      <w:pPr>
        <w:shd w:val="clear" w:color="auto" w:fill="FFFFFF"/>
        <w:jc w:val="center"/>
        <w:rPr>
          <w:rFonts w:eastAsia="Times New Roman" w:cs="Times New Roman"/>
          <w:b/>
          <w:color w:val="333333"/>
          <w:szCs w:val="24"/>
        </w:rPr>
      </w:pPr>
      <w:r>
        <w:rPr>
          <w:rFonts w:eastAsia="Times New Roman" w:cs="Times New Roman"/>
          <w:b/>
          <w:color w:val="333333"/>
          <w:szCs w:val="24"/>
        </w:rPr>
        <w:t>School of Communication Studies</w:t>
      </w:r>
    </w:p>
    <w:p w:rsidR="0096201F" w:rsidRDefault="0096201F" w:rsidP="0096201F">
      <w:pPr>
        <w:shd w:val="clear" w:color="auto" w:fill="FFFFFF"/>
        <w:jc w:val="center"/>
        <w:rPr>
          <w:rFonts w:eastAsia="Times New Roman" w:cs="Times New Roman"/>
          <w:b/>
          <w:color w:val="333333"/>
          <w:szCs w:val="24"/>
        </w:rPr>
      </w:pPr>
      <w:r>
        <w:rPr>
          <w:rFonts w:eastAsia="Times New Roman" w:cs="Times New Roman"/>
          <w:b/>
          <w:color w:val="333333"/>
          <w:szCs w:val="24"/>
        </w:rPr>
        <w:t>University of Tennessee</w:t>
      </w:r>
    </w:p>
    <w:p w:rsidR="0096201F" w:rsidRDefault="0096201F" w:rsidP="0096201F">
      <w:pPr>
        <w:shd w:val="clear" w:color="auto" w:fill="FFFFFF"/>
        <w:rPr>
          <w:rFonts w:eastAsia="Times New Roman" w:cs="Times New Roman"/>
          <w:b/>
          <w:color w:val="333333"/>
          <w:szCs w:val="24"/>
        </w:rPr>
      </w:pPr>
    </w:p>
    <w:p w:rsidR="0096201F" w:rsidRDefault="0096201F" w:rsidP="0096201F">
      <w:pPr>
        <w:shd w:val="clear" w:color="auto" w:fill="FFFFFF"/>
        <w:rPr>
          <w:rFonts w:eastAsia="Times New Roman" w:cs="Times New Roman"/>
          <w:color w:val="333333"/>
          <w:szCs w:val="24"/>
        </w:rPr>
      </w:pPr>
      <w:r>
        <w:rPr>
          <w:rFonts w:eastAsia="Times New Roman" w:cs="Times New Roman"/>
          <w:b/>
          <w:color w:val="333333"/>
          <w:szCs w:val="24"/>
        </w:rPr>
        <w:t xml:space="preserve">Date of Appointment: </w:t>
      </w:r>
      <w:r>
        <w:rPr>
          <w:rFonts w:eastAsia="Times New Roman" w:cs="Times New Roman"/>
          <w:color w:val="333333"/>
          <w:szCs w:val="24"/>
        </w:rPr>
        <w:t>August 1, 2022</w:t>
      </w:r>
    </w:p>
    <w:p w:rsidR="0096201F" w:rsidRDefault="0096201F" w:rsidP="0096201F">
      <w:pPr>
        <w:shd w:val="clear" w:color="auto" w:fill="FFFFFF"/>
        <w:rPr>
          <w:rFonts w:eastAsia="Times New Roman" w:cs="Times New Roman"/>
          <w:color w:val="333333"/>
          <w:szCs w:val="24"/>
        </w:rPr>
      </w:pPr>
    </w:p>
    <w:p w:rsidR="0096201F" w:rsidRPr="0096201F" w:rsidRDefault="0096201F" w:rsidP="0096201F">
      <w:pPr>
        <w:shd w:val="clear" w:color="auto" w:fill="FFFFFF"/>
        <w:rPr>
          <w:rFonts w:eastAsia="Times New Roman" w:cs="Times New Roman"/>
          <w:color w:val="333333"/>
          <w:szCs w:val="24"/>
        </w:rPr>
      </w:pPr>
      <w:r>
        <w:rPr>
          <w:rFonts w:eastAsia="Times New Roman" w:cs="Times New Roman"/>
          <w:b/>
          <w:color w:val="333333"/>
          <w:szCs w:val="24"/>
        </w:rPr>
        <w:t xml:space="preserve">Academic Rank: </w:t>
      </w:r>
      <w:r>
        <w:rPr>
          <w:rFonts w:eastAsia="Times New Roman" w:cs="Times New Roman"/>
          <w:color w:val="333333"/>
          <w:szCs w:val="24"/>
        </w:rPr>
        <w:t>Assistant Professor</w:t>
      </w:r>
    </w:p>
    <w:p w:rsidR="0096201F" w:rsidRDefault="0096201F" w:rsidP="0096201F">
      <w:pPr>
        <w:shd w:val="clear" w:color="auto" w:fill="FFFFFF"/>
        <w:rPr>
          <w:rFonts w:eastAsia="Times New Roman" w:cs="Times New Roman"/>
          <w:b/>
          <w:color w:val="333333"/>
          <w:szCs w:val="24"/>
        </w:rPr>
      </w:pPr>
    </w:p>
    <w:p w:rsidR="0096201F" w:rsidRDefault="0096201F" w:rsidP="0096201F">
      <w:pPr>
        <w:shd w:val="clear" w:color="auto" w:fill="FFFFFF"/>
        <w:rPr>
          <w:rFonts w:eastAsia="Times New Roman" w:cs="Times New Roman"/>
          <w:color w:val="333333"/>
          <w:szCs w:val="24"/>
        </w:rPr>
      </w:pPr>
      <w:r>
        <w:rPr>
          <w:rFonts w:eastAsia="Times New Roman" w:cs="Times New Roman"/>
          <w:b/>
          <w:color w:val="333333"/>
          <w:szCs w:val="24"/>
        </w:rPr>
        <w:t xml:space="preserve">Nature of Position: </w:t>
      </w:r>
      <w:r w:rsidRPr="0096201F">
        <w:rPr>
          <w:rFonts w:eastAsia="Times New Roman" w:cs="Times New Roman"/>
          <w:color w:val="333333"/>
          <w:szCs w:val="24"/>
        </w:rPr>
        <w:t>The School of Communication Studies seeks to fill an Assistant Professor position to begin August 1, 2022.  We seek a social scientist with expertise in organizational communication. Ph.D. in communication, evidence of excellence in teaching and research commensurate with appointment at a Carnegie classified Research University are required at the time of appointment. The successful candidate will demonstrate the potential for externally funded research. We especially welcome candidates with demonstrated success in working with diverse populations.</w:t>
      </w:r>
    </w:p>
    <w:p w:rsidR="000E1233" w:rsidRPr="0096201F" w:rsidRDefault="000E1233" w:rsidP="0096201F">
      <w:pPr>
        <w:shd w:val="clear" w:color="auto" w:fill="FFFFFF"/>
        <w:rPr>
          <w:rFonts w:eastAsia="Times New Roman" w:cs="Times New Roman"/>
          <w:color w:val="333333"/>
          <w:szCs w:val="24"/>
        </w:rPr>
      </w:pPr>
    </w:p>
    <w:p w:rsidR="0096201F" w:rsidRPr="0096201F" w:rsidRDefault="0096201F" w:rsidP="0096201F">
      <w:pPr>
        <w:shd w:val="clear" w:color="auto" w:fill="FFFFFF"/>
        <w:spacing w:after="240"/>
        <w:rPr>
          <w:rFonts w:eastAsia="Times New Roman" w:cs="Times New Roman"/>
          <w:color w:val="333333"/>
          <w:szCs w:val="24"/>
        </w:rPr>
      </w:pPr>
      <w:r w:rsidRPr="0096201F">
        <w:rPr>
          <w:rFonts w:eastAsia="Times New Roman" w:cs="Times New Roman"/>
          <w:color w:val="333333"/>
          <w:szCs w:val="24"/>
        </w:rPr>
        <w:t>Responsibilities include maintaining an active program of research, teaching undergraduate and graduate level courses, and performing School-related service including graduate/undergraduate advising. Experience in–or the potential for–building an equitable and diverse scholarly environment in teaching, mentoring, research, life experiences, or service is expected. Ability to work collaboratively with faculty, students and staff from a wide range of disciplines, cultures and academic backgrounds is essential.</w:t>
      </w:r>
    </w:p>
    <w:p w:rsidR="0096201F" w:rsidRPr="0096201F" w:rsidRDefault="0096201F" w:rsidP="0096201F">
      <w:pPr>
        <w:shd w:val="clear" w:color="auto" w:fill="FFFFFF"/>
        <w:spacing w:after="240"/>
        <w:rPr>
          <w:rFonts w:eastAsia="Times New Roman" w:cs="Times New Roman"/>
          <w:color w:val="333333"/>
          <w:szCs w:val="24"/>
        </w:rPr>
      </w:pPr>
      <w:r w:rsidRPr="0096201F">
        <w:rPr>
          <w:rFonts w:eastAsia="Times New Roman" w:cs="Times New Roman"/>
          <w:color w:val="333333"/>
          <w:szCs w:val="24"/>
        </w:rPr>
        <w:t>The salary for the position is competitive and commensurate with experience.</w:t>
      </w:r>
    </w:p>
    <w:p w:rsidR="0096201F" w:rsidRPr="0096201F" w:rsidRDefault="0096201F" w:rsidP="0096201F">
      <w:pPr>
        <w:shd w:val="clear" w:color="auto" w:fill="FFFFFF"/>
        <w:spacing w:after="240"/>
        <w:rPr>
          <w:rFonts w:eastAsia="Times New Roman" w:cs="Times New Roman"/>
          <w:color w:val="333333"/>
          <w:szCs w:val="24"/>
        </w:rPr>
      </w:pPr>
      <w:r w:rsidRPr="0096201F">
        <w:rPr>
          <w:rFonts w:eastAsia="Times New Roman" w:cs="Times New Roman"/>
          <w:color w:val="333333"/>
          <w:szCs w:val="24"/>
        </w:rPr>
        <w:t>The school participates in the college-wide M.S. and Ph.D. programs. Approximately six doctoral students and 15 Master’s students are currently enrolled into the communication studies concentration. The School includes approximately 425 undergraduate majors and enrolls more than 2,700 students per term in its courses.</w:t>
      </w:r>
    </w:p>
    <w:p w:rsidR="0096201F" w:rsidRPr="0096201F" w:rsidRDefault="0096201F" w:rsidP="0096201F">
      <w:pPr>
        <w:shd w:val="clear" w:color="auto" w:fill="FFFFFF"/>
        <w:spacing w:after="240"/>
        <w:rPr>
          <w:rFonts w:eastAsia="Times New Roman" w:cs="Times New Roman"/>
          <w:color w:val="333333"/>
          <w:szCs w:val="24"/>
        </w:rPr>
      </w:pPr>
      <w:r>
        <w:rPr>
          <w:rFonts w:eastAsia="Times New Roman" w:cs="Times New Roman"/>
          <w:b/>
          <w:color w:val="333333"/>
          <w:szCs w:val="24"/>
        </w:rPr>
        <w:t xml:space="preserve">The School: </w:t>
      </w:r>
      <w:r w:rsidRPr="0096201F">
        <w:rPr>
          <w:rFonts w:eastAsia="Times New Roman" w:cs="Times New Roman"/>
          <w:color w:val="333333"/>
          <w:szCs w:val="24"/>
        </w:rPr>
        <w:t>The School of Communication Studies and the College of Communication and Information have a strong institutional commitment to diversity and strongly encourage candidates from underrepresented groups to apply. We favor candidates who can contribute to our distinctive educational objectives that promote interdisciplinary perspectives, intercultural understanding, concern with social responsibility, and the ethical implications of social interaction. The College’s Diversity and Inclusion Statement can be viewed at </w:t>
      </w:r>
      <w:hyperlink r:id="rId4" w:history="1">
        <w:r w:rsidRPr="0096201F">
          <w:rPr>
            <w:rFonts w:eastAsia="Times New Roman" w:cs="Times New Roman"/>
            <w:color w:val="2577A6"/>
            <w:szCs w:val="24"/>
            <w:u w:val="single"/>
          </w:rPr>
          <w:t>https://cci.utk.edu/diversity</w:t>
        </w:r>
      </w:hyperlink>
    </w:p>
    <w:p w:rsidR="0096201F" w:rsidRPr="0096201F" w:rsidRDefault="0096201F" w:rsidP="0096201F">
      <w:pPr>
        <w:shd w:val="clear" w:color="auto" w:fill="FFFFFF"/>
        <w:spacing w:after="240"/>
        <w:rPr>
          <w:rFonts w:eastAsia="Times New Roman" w:cs="Times New Roman"/>
          <w:color w:val="333333"/>
          <w:szCs w:val="24"/>
        </w:rPr>
      </w:pPr>
      <w:r>
        <w:rPr>
          <w:rFonts w:eastAsia="Times New Roman" w:cs="Times New Roman"/>
          <w:b/>
          <w:color w:val="333333"/>
          <w:szCs w:val="24"/>
        </w:rPr>
        <w:t xml:space="preserve">The College: </w:t>
      </w:r>
      <w:r w:rsidRPr="0096201F">
        <w:rPr>
          <w:rFonts w:eastAsia="Times New Roman" w:cs="Times New Roman"/>
          <w:color w:val="333333"/>
          <w:szCs w:val="24"/>
        </w:rPr>
        <w:t>The College of Communication and Information consists of four schools: The School of Advertising and Public Relations, the School of Communication Studies, the School of Journalism and Electronic Media, and the School of Information Sciences. The College has a collaborative, active research faculty. College faculty regularly engage in partnerships with Oak Ridge National Laboratory, governmental agencies, the University of Tennessee Extension, the University of Tennessee Medical Center, as well as academic departments internal and external to the university. These research activities are supported by the college’s Center for Information and Communication Studies. The College includes approximately 1,200 majors and pre-majors, and enrolls more than 5,800 students per semester.</w:t>
      </w:r>
    </w:p>
    <w:p w:rsidR="0096201F" w:rsidRPr="0096201F" w:rsidRDefault="0096201F" w:rsidP="0096201F">
      <w:pPr>
        <w:shd w:val="clear" w:color="auto" w:fill="FFFFFF"/>
        <w:spacing w:after="240"/>
        <w:rPr>
          <w:rFonts w:eastAsia="Times New Roman" w:cs="Times New Roman"/>
          <w:color w:val="333333"/>
          <w:szCs w:val="24"/>
        </w:rPr>
      </w:pPr>
      <w:r>
        <w:rPr>
          <w:rFonts w:eastAsia="Times New Roman" w:cs="Times New Roman"/>
          <w:b/>
          <w:color w:val="333333"/>
          <w:szCs w:val="24"/>
        </w:rPr>
        <w:lastRenderedPageBreak/>
        <w:t xml:space="preserve">The University: </w:t>
      </w:r>
      <w:r w:rsidRPr="0096201F">
        <w:rPr>
          <w:rFonts w:eastAsia="Times New Roman" w:cs="Times New Roman"/>
          <w:color w:val="333333"/>
          <w:szCs w:val="24"/>
        </w:rPr>
        <w:t>Founded in 1794, the University of Tennessee enrolls approximately 30,000 students at its Knoxville campus. The University of Tennessee is Tennessee’s only public Carnegie Doctoral: Highest Research Activity University and is currently ranked among the nation’s Top 55 public universities.</w:t>
      </w:r>
    </w:p>
    <w:p w:rsidR="0096201F" w:rsidRPr="0096201F" w:rsidRDefault="0096201F" w:rsidP="0096201F">
      <w:pPr>
        <w:shd w:val="clear" w:color="auto" w:fill="FFFFFF"/>
        <w:rPr>
          <w:rFonts w:eastAsia="Times New Roman" w:cs="Times New Roman"/>
          <w:b/>
          <w:color w:val="333333"/>
          <w:szCs w:val="24"/>
        </w:rPr>
      </w:pPr>
      <w:r w:rsidRPr="0096201F">
        <w:rPr>
          <w:rFonts w:eastAsia="Times New Roman" w:cs="Times New Roman"/>
          <w:b/>
          <w:color w:val="333333"/>
          <w:szCs w:val="24"/>
        </w:rPr>
        <w:t>Qualifications</w:t>
      </w:r>
    </w:p>
    <w:p w:rsidR="0096201F" w:rsidRPr="0096201F" w:rsidRDefault="0096201F" w:rsidP="0096201F">
      <w:pPr>
        <w:shd w:val="clear" w:color="auto" w:fill="FFFFFF"/>
        <w:spacing w:after="240"/>
        <w:rPr>
          <w:rFonts w:eastAsia="Times New Roman" w:cs="Times New Roman"/>
          <w:color w:val="333333"/>
          <w:szCs w:val="24"/>
        </w:rPr>
      </w:pPr>
      <w:r w:rsidRPr="0096201F">
        <w:rPr>
          <w:rFonts w:eastAsia="Times New Roman" w:cs="Times New Roman"/>
          <w:color w:val="333333"/>
          <w:szCs w:val="24"/>
        </w:rPr>
        <w:t>We seek a social scientist with expertise in organizational communication.  Ph.D. in communication, evidence of excellence in teaching and research commensurate with appointment at a Carnegie classified Research University are required at the time of appointment.</w:t>
      </w:r>
    </w:p>
    <w:p w:rsidR="0096201F" w:rsidRPr="0096201F" w:rsidRDefault="0096201F" w:rsidP="0096201F">
      <w:pPr>
        <w:shd w:val="clear" w:color="auto" w:fill="FFFFFF"/>
        <w:rPr>
          <w:rFonts w:eastAsia="Times New Roman" w:cs="Times New Roman"/>
          <w:b/>
          <w:color w:val="333333"/>
          <w:szCs w:val="24"/>
        </w:rPr>
      </w:pPr>
      <w:r w:rsidRPr="0096201F">
        <w:rPr>
          <w:rFonts w:eastAsia="Times New Roman" w:cs="Times New Roman"/>
          <w:b/>
          <w:color w:val="333333"/>
          <w:szCs w:val="24"/>
        </w:rPr>
        <w:t>Application Instructions</w:t>
      </w:r>
    </w:p>
    <w:p w:rsidR="0096201F" w:rsidRPr="0096201F" w:rsidRDefault="0096201F" w:rsidP="0096201F">
      <w:pPr>
        <w:shd w:val="clear" w:color="auto" w:fill="FFFFFF"/>
        <w:spacing w:after="240"/>
        <w:rPr>
          <w:rFonts w:eastAsia="Times New Roman" w:cs="Times New Roman"/>
          <w:color w:val="333333"/>
          <w:szCs w:val="24"/>
        </w:rPr>
      </w:pPr>
      <w:r w:rsidRPr="0096201F">
        <w:rPr>
          <w:rFonts w:eastAsia="Times New Roman" w:cs="Times New Roman"/>
          <w:color w:val="333333"/>
          <w:szCs w:val="24"/>
        </w:rPr>
        <w:t xml:space="preserve">To apply, please submit: (1) a letter of application, (2) vita, (3) evidence of teaching and research excellence, (4) a diversity statement, and (5) the names and contact information of at least three references in </w:t>
      </w:r>
      <w:proofErr w:type="spellStart"/>
      <w:r w:rsidRPr="0096201F">
        <w:rPr>
          <w:rFonts w:eastAsia="Times New Roman" w:cs="Times New Roman"/>
          <w:color w:val="333333"/>
          <w:szCs w:val="24"/>
        </w:rPr>
        <w:t>Interfolio</w:t>
      </w:r>
      <w:proofErr w:type="spellEnd"/>
      <w:r w:rsidRPr="0096201F">
        <w:rPr>
          <w:rFonts w:eastAsia="Times New Roman" w:cs="Times New Roman"/>
          <w:color w:val="333333"/>
          <w:szCs w:val="24"/>
        </w:rPr>
        <w:t xml:space="preserve">: </w:t>
      </w:r>
      <w:hyperlink r:id="rId5" w:tgtFrame="_blank" w:history="1">
        <w:r w:rsidRPr="0096201F">
          <w:rPr>
            <w:rStyle w:val="Hyperlink"/>
            <w:rFonts w:cs="Times New Roman"/>
            <w:color w:val="2577A6"/>
            <w:shd w:val="clear" w:color="auto" w:fill="FFFFFF"/>
          </w:rPr>
          <w:t>apply.interfolio.com/88569</w:t>
        </w:r>
      </w:hyperlink>
      <w:r w:rsidRPr="0096201F">
        <w:rPr>
          <w:rFonts w:eastAsia="Times New Roman" w:cs="Times New Roman"/>
          <w:color w:val="333333"/>
          <w:szCs w:val="24"/>
        </w:rPr>
        <w:t> </w:t>
      </w:r>
      <w:r w:rsidRPr="0096201F">
        <w:rPr>
          <w:rFonts w:eastAsia="Times New Roman" w:cs="Times New Roman"/>
          <w:i/>
          <w:iCs/>
          <w:color w:val="333333"/>
          <w:szCs w:val="24"/>
        </w:rPr>
        <w:t>                           </w:t>
      </w:r>
    </w:p>
    <w:p w:rsidR="0096201F" w:rsidRPr="0096201F" w:rsidRDefault="0096201F" w:rsidP="0096201F">
      <w:pPr>
        <w:shd w:val="clear" w:color="auto" w:fill="FFFFFF"/>
        <w:spacing w:after="240"/>
        <w:rPr>
          <w:rFonts w:eastAsia="Times New Roman" w:cs="Times New Roman"/>
          <w:color w:val="333333"/>
          <w:szCs w:val="24"/>
        </w:rPr>
      </w:pPr>
      <w:r w:rsidRPr="0096201F">
        <w:rPr>
          <w:rFonts w:eastAsia="Times New Roman" w:cs="Times New Roman"/>
          <w:color w:val="333333"/>
          <w:szCs w:val="24"/>
        </w:rPr>
        <w:t>Questions about the position should be directed to Dr. Emily Paskewitz (</w:t>
      </w:r>
      <w:hyperlink r:id="rId6" w:history="1">
        <w:r w:rsidRPr="0096201F">
          <w:rPr>
            <w:rFonts w:eastAsia="Times New Roman" w:cs="Times New Roman"/>
            <w:color w:val="2577A6"/>
            <w:szCs w:val="24"/>
            <w:u w:val="single"/>
          </w:rPr>
          <w:t>epaskewi@utk.edu</w:t>
        </w:r>
      </w:hyperlink>
      <w:r w:rsidRPr="0096201F">
        <w:rPr>
          <w:rFonts w:eastAsia="Times New Roman" w:cs="Times New Roman"/>
          <w:color w:val="333333"/>
          <w:szCs w:val="24"/>
        </w:rPr>
        <w:t>).</w:t>
      </w:r>
    </w:p>
    <w:p w:rsidR="0096201F" w:rsidRPr="0096201F" w:rsidRDefault="0096201F" w:rsidP="0096201F">
      <w:pPr>
        <w:shd w:val="clear" w:color="auto" w:fill="FFFFFF"/>
        <w:spacing w:after="240"/>
        <w:rPr>
          <w:rFonts w:eastAsia="Times New Roman" w:cs="Times New Roman"/>
          <w:color w:val="333333"/>
          <w:szCs w:val="24"/>
        </w:rPr>
      </w:pPr>
      <w:r w:rsidRPr="0096201F">
        <w:rPr>
          <w:rFonts w:eastAsia="Times New Roman" w:cs="Times New Roman"/>
          <w:color w:val="333333"/>
          <w:szCs w:val="24"/>
        </w:rPr>
        <w:t>Review of applications begins October 1, 2021 and continues until the position is filled.</w:t>
      </w:r>
    </w:p>
    <w:p w:rsidR="0096201F" w:rsidRPr="0096201F" w:rsidRDefault="0096201F" w:rsidP="0096201F">
      <w:pPr>
        <w:shd w:val="clear" w:color="auto" w:fill="FFFFFF"/>
        <w:rPr>
          <w:rFonts w:eastAsia="Times New Roman" w:cs="Times New Roman"/>
          <w:b/>
          <w:color w:val="333333"/>
          <w:szCs w:val="24"/>
        </w:rPr>
      </w:pPr>
      <w:r w:rsidRPr="0096201F">
        <w:rPr>
          <w:rFonts w:eastAsia="Times New Roman" w:cs="Times New Roman"/>
          <w:b/>
          <w:color w:val="333333"/>
          <w:szCs w:val="24"/>
        </w:rPr>
        <w:t>Equal Employment Opportunity Statement</w:t>
      </w:r>
    </w:p>
    <w:p w:rsidR="0096201F" w:rsidRPr="0096201F" w:rsidRDefault="0096201F" w:rsidP="0096201F">
      <w:pPr>
        <w:shd w:val="clear" w:color="auto" w:fill="FFFFFF"/>
        <w:spacing w:after="240"/>
        <w:rPr>
          <w:rFonts w:eastAsia="Times New Roman" w:cs="Times New Roman"/>
          <w:color w:val="333333"/>
          <w:szCs w:val="24"/>
        </w:rPr>
      </w:pPr>
      <w:r w:rsidRPr="0096201F">
        <w:rPr>
          <w:rFonts w:eastAsia="Times New Roman" w:cs="Times New Roman"/>
          <w:color w:val="333333"/>
          <w:szCs w:val="24"/>
        </w:rPr>
        <w:t>All qualified applicants will receive equal consideration for employment and admission without regard to race, color, national origin, religion, sex, pregnancy, marital status, sexual orientation, gender identity, age, physical or mental disability, genetic information, veteran status, and parental status, or any other characteristic protected by federal or state law. In accordance with the requirements of Title VI of the Civil Rights Act of 1964, Title IX of the Education Amendments of 1972, Section 504 of the Rehabilitation Act of 1973, and the Americans with Disabilities Act of 1990, the University of Tennessee affirmatively states that it does not discriminate on the basis of race, sex, or disability in its education programs and activities, and this policy extends to employment by the university. Inquiries and charges of violation of Title VI (race, color, and national origin), Title IX (sex), Se</w:t>
      </w:r>
      <w:r w:rsidR="004A5237">
        <w:rPr>
          <w:rFonts w:eastAsia="Times New Roman" w:cs="Times New Roman"/>
          <w:color w:val="333333"/>
          <w:szCs w:val="24"/>
        </w:rPr>
        <w:t xml:space="preserve">ction 504 (disability), the ADA </w:t>
      </w:r>
      <w:bookmarkStart w:id="0" w:name="_GoBack"/>
      <w:bookmarkEnd w:id="0"/>
      <w:r w:rsidRPr="0096201F">
        <w:rPr>
          <w:rFonts w:eastAsia="Times New Roman" w:cs="Times New Roman"/>
          <w:color w:val="333333"/>
          <w:szCs w:val="24"/>
        </w:rPr>
        <w:t>(disability), the Age Discrimination in Employment Act (age), sexual orientation, or veteran status should be directed to the Office of Equity and Diversity, 1840 Melrose Avenue, Knoxville, TN 37996-3560, telephone 865-974-2498. Requests for accommodation of a disability should be directed to the ADA Coordinator at the Office of Equity and Diversity.</w:t>
      </w:r>
    </w:p>
    <w:p w:rsidR="00B243A3" w:rsidRPr="0096201F" w:rsidRDefault="00B243A3">
      <w:pPr>
        <w:rPr>
          <w:rFonts w:cs="Times New Roman"/>
        </w:rPr>
      </w:pPr>
    </w:p>
    <w:sectPr w:rsidR="00B243A3" w:rsidRPr="00962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1F"/>
    <w:rsid w:val="00072914"/>
    <w:rsid w:val="000E1233"/>
    <w:rsid w:val="0021038B"/>
    <w:rsid w:val="004A5237"/>
    <w:rsid w:val="00802235"/>
    <w:rsid w:val="0096201F"/>
    <w:rsid w:val="00B243A3"/>
    <w:rsid w:val="00F4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27E2"/>
  <w15:chartTrackingRefBased/>
  <w15:docId w15:val="{5886C60E-B24A-4C13-AAAB-82142FDC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91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f-form-group-label-text">
    <w:name w:val="intf-form-group-label-text"/>
    <w:basedOn w:val="DefaultParagraphFont"/>
    <w:rsid w:val="0096201F"/>
  </w:style>
  <w:style w:type="paragraph" w:styleId="NormalWeb">
    <w:name w:val="Normal (Web)"/>
    <w:basedOn w:val="Normal"/>
    <w:uiPriority w:val="99"/>
    <w:semiHidden/>
    <w:unhideWhenUsed/>
    <w:rsid w:val="0096201F"/>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96201F"/>
    <w:rPr>
      <w:color w:val="0000FF"/>
      <w:u w:val="single"/>
    </w:rPr>
  </w:style>
  <w:style w:type="character" w:styleId="Emphasis">
    <w:name w:val="Emphasis"/>
    <w:basedOn w:val="DefaultParagraphFont"/>
    <w:uiPriority w:val="20"/>
    <w:qFormat/>
    <w:rsid w:val="009620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72004">
      <w:bodyDiv w:val="1"/>
      <w:marLeft w:val="0"/>
      <w:marRight w:val="0"/>
      <w:marTop w:val="0"/>
      <w:marBottom w:val="0"/>
      <w:divBdr>
        <w:top w:val="none" w:sz="0" w:space="0" w:color="auto"/>
        <w:left w:val="none" w:sz="0" w:space="0" w:color="auto"/>
        <w:bottom w:val="none" w:sz="0" w:space="0" w:color="auto"/>
        <w:right w:val="none" w:sz="0" w:space="0" w:color="auto"/>
      </w:divBdr>
      <w:divsChild>
        <w:div w:id="1719089082">
          <w:marLeft w:val="-225"/>
          <w:marRight w:val="-225"/>
          <w:marTop w:val="0"/>
          <w:marBottom w:val="0"/>
          <w:divBdr>
            <w:top w:val="none" w:sz="0" w:space="0" w:color="auto"/>
            <w:left w:val="none" w:sz="0" w:space="0" w:color="auto"/>
            <w:bottom w:val="none" w:sz="0" w:space="0" w:color="auto"/>
            <w:right w:val="none" w:sz="0" w:space="0" w:color="auto"/>
          </w:divBdr>
          <w:divsChild>
            <w:div w:id="198519457">
              <w:marLeft w:val="0"/>
              <w:marRight w:val="0"/>
              <w:marTop w:val="0"/>
              <w:marBottom w:val="150"/>
              <w:divBdr>
                <w:top w:val="none" w:sz="0" w:space="0" w:color="auto"/>
                <w:left w:val="none" w:sz="0" w:space="0" w:color="auto"/>
                <w:bottom w:val="none" w:sz="0" w:space="0" w:color="auto"/>
                <w:right w:val="none" w:sz="0" w:space="0" w:color="auto"/>
              </w:divBdr>
              <w:divsChild>
                <w:div w:id="457723276">
                  <w:marLeft w:val="0"/>
                  <w:marRight w:val="0"/>
                  <w:marTop w:val="0"/>
                  <w:marBottom w:val="0"/>
                  <w:divBdr>
                    <w:top w:val="none" w:sz="0" w:space="0" w:color="auto"/>
                    <w:left w:val="none" w:sz="0" w:space="0" w:color="auto"/>
                    <w:bottom w:val="none" w:sz="0" w:space="0" w:color="auto"/>
                    <w:right w:val="none" w:sz="0" w:space="0" w:color="auto"/>
                  </w:divBdr>
                  <w:divsChild>
                    <w:div w:id="4632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50403">
          <w:marLeft w:val="-225"/>
          <w:marRight w:val="-225"/>
          <w:marTop w:val="0"/>
          <w:marBottom w:val="0"/>
          <w:divBdr>
            <w:top w:val="none" w:sz="0" w:space="0" w:color="auto"/>
            <w:left w:val="none" w:sz="0" w:space="0" w:color="auto"/>
            <w:bottom w:val="none" w:sz="0" w:space="0" w:color="auto"/>
            <w:right w:val="none" w:sz="0" w:space="0" w:color="auto"/>
          </w:divBdr>
          <w:divsChild>
            <w:div w:id="455760350">
              <w:marLeft w:val="0"/>
              <w:marRight w:val="0"/>
              <w:marTop w:val="0"/>
              <w:marBottom w:val="150"/>
              <w:divBdr>
                <w:top w:val="none" w:sz="0" w:space="0" w:color="auto"/>
                <w:left w:val="none" w:sz="0" w:space="0" w:color="auto"/>
                <w:bottom w:val="none" w:sz="0" w:space="0" w:color="auto"/>
                <w:right w:val="none" w:sz="0" w:space="0" w:color="auto"/>
              </w:divBdr>
              <w:divsChild>
                <w:div w:id="179782428">
                  <w:marLeft w:val="0"/>
                  <w:marRight w:val="0"/>
                  <w:marTop w:val="0"/>
                  <w:marBottom w:val="0"/>
                  <w:divBdr>
                    <w:top w:val="none" w:sz="0" w:space="0" w:color="auto"/>
                    <w:left w:val="none" w:sz="0" w:space="0" w:color="auto"/>
                    <w:bottom w:val="none" w:sz="0" w:space="0" w:color="auto"/>
                    <w:right w:val="none" w:sz="0" w:space="0" w:color="auto"/>
                  </w:divBdr>
                  <w:divsChild>
                    <w:div w:id="17208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16647">
          <w:marLeft w:val="-225"/>
          <w:marRight w:val="-225"/>
          <w:marTop w:val="0"/>
          <w:marBottom w:val="0"/>
          <w:divBdr>
            <w:top w:val="none" w:sz="0" w:space="0" w:color="auto"/>
            <w:left w:val="none" w:sz="0" w:space="0" w:color="auto"/>
            <w:bottom w:val="none" w:sz="0" w:space="0" w:color="auto"/>
            <w:right w:val="none" w:sz="0" w:space="0" w:color="auto"/>
          </w:divBdr>
          <w:divsChild>
            <w:div w:id="2015451604">
              <w:marLeft w:val="0"/>
              <w:marRight w:val="0"/>
              <w:marTop w:val="0"/>
              <w:marBottom w:val="150"/>
              <w:divBdr>
                <w:top w:val="none" w:sz="0" w:space="0" w:color="auto"/>
                <w:left w:val="none" w:sz="0" w:space="0" w:color="auto"/>
                <w:bottom w:val="none" w:sz="0" w:space="0" w:color="auto"/>
                <w:right w:val="none" w:sz="0" w:space="0" w:color="auto"/>
              </w:divBdr>
              <w:divsChild>
                <w:div w:id="1484783642">
                  <w:marLeft w:val="0"/>
                  <w:marRight w:val="0"/>
                  <w:marTop w:val="0"/>
                  <w:marBottom w:val="0"/>
                  <w:divBdr>
                    <w:top w:val="none" w:sz="0" w:space="0" w:color="auto"/>
                    <w:left w:val="none" w:sz="0" w:space="0" w:color="auto"/>
                    <w:bottom w:val="none" w:sz="0" w:space="0" w:color="auto"/>
                    <w:right w:val="none" w:sz="0" w:space="0" w:color="auto"/>
                  </w:divBdr>
                  <w:divsChild>
                    <w:div w:id="3997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8064">
          <w:marLeft w:val="-225"/>
          <w:marRight w:val="-225"/>
          <w:marTop w:val="0"/>
          <w:marBottom w:val="0"/>
          <w:divBdr>
            <w:top w:val="none" w:sz="0" w:space="0" w:color="auto"/>
            <w:left w:val="none" w:sz="0" w:space="0" w:color="auto"/>
            <w:bottom w:val="none" w:sz="0" w:space="0" w:color="auto"/>
            <w:right w:val="none" w:sz="0" w:space="0" w:color="auto"/>
          </w:divBdr>
          <w:divsChild>
            <w:div w:id="283731714">
              <w:marLeft w:val="0"/>
              <w:marRight w:val="0"/>
              <w:marTop w:val="0"/>
              <w:marBottom w:val="150"/>
              <w:divBdr>
                <w:top w:val="none" w:sz="0" w:space="0" w:color="auto"/>
                <w:left w:val="none" w:sz="0" w:space="0" w:color="auto"/>
                <w:bottom w:val="none" w:sz="0" w:space="0" w:color="auto"/>
                <w:right w:val="none" w:sz="0" w:space="0" w:color="auto"/>
              </w:divBdr>
              <w:divsChild>
                <w:div w:id="1607230211">
                  <w:marLeft w:val="0"/>
                  <w:marRight w:val="0"/>
                  <w:marTop w:val="0"/>
                  <w:marBottom w:val="0"/>
                  <w:divBdr>
                    <w:top w:val="none" w:sz="0" w:space="0" w:color="auto"/>
                    <w:left w:val="none" w:sz="0" w:space="0" w:color="auto"/>
                    <w:bottom w:val="none" w:sz="0" w:space="0" w:color="auto"/>
                    <w:right w:val="none" w:sz="0" w:space="0" w:color="auto"/>
                  </w:divBdr>
                  <w:divsChild>
                    <w:div w:id="3421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paskewi@utk.edu" TargetMode="External"/><Relationship Id="rId5" Type="http://schemas.openxmlformats.org/officeDocument/2006/relationships/hyperlink" Target="http://apply.interfolio.com/88569" TargetMode="External"/><Relationship Id="rId4" Type="http://schemas.openxmlformats.org/officeDocument/2006/relationships/hyperlink" Target="https://cci.utk.edu/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Paskewitz, Emily Ann</dc:creator>
  <cp:keywords/>
  <dc:description/>
  <cp:lastModifiedBy>Paskewitz, Emily Ann</cp:lastModifiedBy>
  <cp:revision>6</cp:revision>
  <dcterms:created xsi:type="dcterms:W3CDTF">2021-08-02T18:00:00Z</dcterms:created>
  <dcterms:modified xsi:type="dcterms:W3CDTF">2021-08-02T18:18:00Z</dcterms:modified>
</cp:coreProperties>
</file>